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9827" w14:textId="77777777" w:rsidR="00E04327" w:rsidRDefault="00E04327" w:rsidP="00E04327">
      <w:pPr>
        <w:pStyle w:val="p1"/>
        <w:jc w:val="center"/>
      </w:pPr>
      <w:r>
        <w:t>ROYAL CHARTER</w:t>
      </w:r>
    </w:p>
    <w:p w14:paraId="45F4BC6A" w14:textId="77777777" w:rsidR="00E04327" w:rsidRDefault="00E04327" w:rsidP="00E04327">
      <w:pPr>
        <w:pStyle w:val="p2"/>
        <w:jc w:val="center"/>
      </w:pPr>
      <w:r>
        <w:t>FOR THE</w:t>
      </w:r>
    </w:p>
    <w:p w14:paraId="17031004" w14:textId="2775512A" w:rsidR="00E04327" w:rsidRDefault="00E04327" w:rsidP="00E04327">
      <w:pPr>
        <w:pStyle w:val="p1"/>
        <w:jc w:val="center"/>
      </w:pPr>
      <w:r>
        <w:t>GLOBAL CITIZENS BANK &amp;</w:t>
      </w:r>
      <w:r>
        <w:t xml:space="preserve"> </w:t>
      </w:r>
      <w:r>
        <w:t>TRUST</w:t>
      </w:r>
    </w:p>
    <w:p w14:paraId="6B8A2A30" w14:textId="77777777" w:rsidR="00E04327" w:rsidRDefault="00E04327" w:rsidP="00E04327">
      <w:pPr>
        <w:pStyle w:val="p3"/>
        <w:jc w:val="center"/>
      </w:pPr>
      <w:r>
        <w:t>RC-GCB&amp;T-KOD-2026-001</w:t>
      </w:r>
    </w:p>
    <w:p w14:paraId="2569A731" w14:textId="77777777" w:rsidR="00E04327" w:rsidRDefault="00E04327" w:rsidP="00E04327">
      <w:pPr>
        <w:pStyle w:val="p3"/>
      </w:pPr>
    </w:p>
    <w:p w14:paraId="2E81713E" w14:textId="135E582E" w:rsidR="00E04327" w:rsidRDefault="00E04327" w:rsidP="00E04327">
      <w:pPr>
        <w:pStyle w:val="p3"/>
      </w:pPr>
      <w:r>
        <w:t>Presented and Proposed by the Privy Council of the House and Kingdom of David</w:t>
      </w:r>
    </w:p>
    <w:p w14:paraId="676B2EFE" w14:textId="77777777" w:rsidR="00E04327" w:rsidRDefault="00E04327" w:rsidP="00E04327">
      <w:pPr>
        <w:pStyle w:val="p3"/>
      </w:pPr>
    </w:p>
    <w:p w14:paraId="3370EE32" w14:textId="751C071B" w:rsidR="00E04327" w:rsidRDefault="00E04327" w:rsidP="00E04327">
      <w:pPr>
        <w:pStyle w:val="p3"/>
      </w:pPr>
      <w:r>
        <w:t>Authorized and Issued by His Majesty King David Joel</w:t>
      </w:r>
      <w:r>
        <w:t xml:space="preserve"> </w:t>
      </w:r>
      <w:r>
        <w:t>Crown Sovereign of the House and Kingdom of David</w:t>
      </w:r>
      <w:r>
        <w:t xml:space="preserve"> </w:t>
      </w:r>
      <w:r>
        <w:t>Issued this Twenty-Second Day of May, Two Thousand Twenty-Six</w:t>
      </w:r>
      <w:r>
        <w:t xml:space="preserve"> </w:t>
      </w:r>
      <w:r>
        <w:t>Under the Authority of the Royal Treasury and the Ecumenical and Ecclesiastical Combined</w:t>
      </w:r>
      <w:r>
        <w:t xml:space="preserve"> </w:t>
      </w:r>
      <w:r>
        <w:t>Courts</w:t>
      </w:r>
    </w:p>
    <w:p w14:paraId="7F53D472" w14:textId="77777777" w:rsidR="00E04327" w:rsidRDefault="00E04327" w:rsidP="00E04327">
      <w:pPr>
        <w:pStyle w:val="p4"/>
      </w:pPr>
    </w:p>
    <w:p w14:paraId="0E6ED13B" w14:textId="627D6335" w:rsidR="00E04327" w:rsidRDefault="00E04327" w:rsidP="00E04327">
      <w:pPr>
        <w:pStyle w:val="p4"/>
        <w:jc w:val="center"/>
      </w:pPr>
      <w:r>
        <w:t>PREAMBLE</w:t>
      </w:r>
    </w:p>
    <w:p w14:paraId="762F0101" w14:textId="77777777" w:rsidR="00E04327" w:rsidRDefault="00E04327" w:rsidP="00E04327">
      <w:pPr>
        <w:pStyle w:val="p3"/>
        <w:rPr>
          <w:rStyle w:val="s1"/>
        </w:rPr>
      </w:pPr>
    </w:p>
    <w:p w14:paraId="525D7EC5" w14:textId="70FA00AE" w:rsidR="00E04327" w:rsidRDefault="00E04327" w:rsidP="00E04327">
      <w:pPr>
        <w:pStyle w:val="p3"/>
      </w:pPr>
      <w:r>
        <w:rPr>
          <w:rStyle w:val="s1"/>
        </w:rPr>
        <w:t>WHEREAS</w:t>
      </w:r>
      <w:r>
        <w:t>, the House and Kingdom of David is a Global, Sovereign, Monarchal Society</w:t>
      </w:r>
      <w:r>
        <w:t xml:space="preserve"> </w:t>
      </w:r>
      <w:r>
        <w:t>established by the Living Word of God that is the basis of all Law, and operates under the</w:t>
      </w:r>
      <w:r>
        <w:t xml:space="preserve"> </w:t>
      </w:r>
      <w:r>
        <w:t>eternal mandate of the Davidic Covenant;</w:t>
      </w:r>
    </w:p>
    <w:p w14:paraId="1C01F397" w14:textId="77777777" w:rsidR="00E04327" w:rsidRDefault="00E04327" w:rsidP="00E04327">
      <w:pPr>
        <w:pStyle w:val="p3"/>
        <w:rPr>
          <w:rStyle w:val="s1"/>
        </w:rPr>
      </w:pPr>
    </w:p>
    <w:p w14:paraId="199DDDAD" w14:textId="4CD6761E" w:rsidR="00E04327" w:rsidRDefault="00E04327" w:rsidP="00E04327">
      <w:pPr>
        <w:pStyle w:val="p3"/>
      </w:pPr>
      <w:r>
        <w:rPr>
          <w:rStyle w:val="s1"/>
        </w:rPr>
        <w:t>AND WHEREAS</w:t>
      </w:r>
      <w:r>
        <w:t>, His Majesty King David Joel, Crown Sovereign, has established the</w:t>
      </w:r>
      <w:r>
        <w:t xml:space="preserve"> </w:t>
      </w:r>
      <w:r>
        <w:t>Royal Treasury and the Royal Global Bank of Issue to administer the Royal Gold Crown</w:t>
      </w:r>
      <w:r>
        <w:t xml:space="preserve"> </w:t>
      </w:r>
      <w:r>
        <w:t>(RGC) monetary system, a gold-backed currency system collateralized by verified mineral</w:t>
      </w:r>
      <w:r>
        <w:t xml:space="preserve"> </w:t>
      </w:r>
      <w:r>
        <w:t>assets held in the Kingdom Registry of Instruments;</w:t>
      </w:r>
    </w:p>
    <w:p w14:paraId="0FCBAAA6" w14:textId="77777777" w:rsidR="00E04327" w:rsidRDefault="00E04327" w:rsidP="00E04327">
      <w:pPr>
        <w:pStyle w:val="p3"/>
        <w:rPr>
          <w:rStyle w:val="s2"/>
        </w:rPr>
      </w:pPr>
    </w:p>
    <w:p w14:paraId="05019F8F" w14:textId="4D9804BB" w:rsidR="00E04327" w:rsidRDefault="00E04327" w:rsidP="00E04327">
      <w:pPr>
        <w:pStyle w:val="p3"/>
      </w:pPr>
      <w:r>
        <w:rPr>
          <w:rStyle w:val="s1"/>
        </w:rPr>
        <w:t>AND WHEREAS</w:t>
      </w:r>
      <w:r>
        <w:t>, the Privy Council has determined that the establishment of a sovereign</w:t>
      </w:r>
      <w:r>
        <w:t xml:space="preserve"> </w:t>
      </w:r>
      <w:r>
        <w:t>banking institution is necessary to serve the citizenry, to administer Royal Crown Individual</w:t>
      </w:r>
      <w:r>
        <w:t xml:space="preserve"> </w:t>
      </w:r>
      <w:r>
        <w:t>Benevolent Trusts (RC-IBT), and to distribute Covenantal Returns to investors;</w:t>
      </w:r>
    </w:p>
    <w:p w14:paraId="70A939CC" w14:textId="77777777" w:rsidR="00E04327" w:rsidRDefault="00E04327" w:rsidP="00E04327">
      <w:pPr>
        <w:pStyle w:val="p3"/>
        <w:rPr>
          <w:rStyle w:val="s1"/>
        </w:rPr>
      </w:pPr>
    </w:p>
    <w:p w14:paraId="49D85259" w14:textId="662217D7" w:rsidR="00E04327" w:rsidRDefault="00E04327" w:rsidP="00E04327">
      <w:pPr>
        <w:pStyle w:val="p3"/>
      </w:pPr>
      <w:r>
        <w:rPr>
          <w:rStyle w:val="s1"/>
        </w:rPr>
        <w:t>AND WHEREAS</w:t>
      </w:r>
      <w:r>
        <w:t>, its predecessor, the Citizens Private Bank &amp; Trust, was established on the</w:t>
      </w:r>
      <w:r>
        <w:t xml:space="preserve"> </w:t>
      </w:r>
      <w:r>
        <w:t>Fifteenth Day of the First Month, Two Thousand Twenty-One;</w:t>
      </w:r>
    </w:p>
    <w:p w14:paraId="66801F2B" w14:textId="77777777" w:rsidR="00E04327" w:rsidRDefault="00E04327" w:rsidP="00E04327">
      <w:pPr>
        <w:pStyle w:val="p5"/>
        <w:rPr>
          <w:rStyle w:val="s4"/>
        </w:rPr>
      </w:pPr>
    </w:p>
    <w:p w14:paraId="31A977B9" w14:textId="1CABF6B5" w:rsidR="00E04327" w:rsidRDefault="00E04327" w:rsidP="00E04327">
      <w:pPr>
        <w:pStyle w:val="p5"/>
      </w:pPr>
      <w:r>
        <w:rPr>
          <w:rStyle w:val="s4"/>
        </w:rPr>
        <w:t>N</w:t>
      </w:r>
      <w:r>
        <w:t xml:space="preserve">OW </w:t>
      </w:r>
      <w:r>
        <w:rPr>
          <w:rStyle w:val="s4"/>
        </w:rPr>
        <w:t>T</w:t>
      </w:r>
      <w:r>
        <w:t>HEREFORE</w:t>
      </w:r>
      <w:r>
        <w:rPr>
          <w:rStyle w:val="s4"/>
        </w:rPr>
        <w:t xml:space="preserve">, </w:t>
      </w:r>
      <w:r>
        <w:t xml:space="preserve">BY THE </w:t>
      </w:r>
      <w:r>
        <w:rPr>
          <w:rStyle w:val="s4"/>
        </w:rPr>
        <w:t>A</w:t>
      </w:r>
      <w:r>
        <w:t xml:space="preserve">UTHORITY </w:t>
      </w:r>
      <w:r>
        <w:rPr>
          <w:rStyle w:val="s4"/>
        </w:rPr>
        <w:t>V</w:t>
      </w:r>
      <w:r>
        <w:t xml:space="preserve">ESTED IN THE </w:t>
      </w:r>
      <w:r>
        <w:rPr>
          <w:rStyle w:val="s4"/>
        </w:rPr>
        <w:t>C</w:t>
      </w:r>
      <w:r>
        <w:t xml:space="preserve">ROWN </w:t>
      </w:r>
      <w:r>
        <w:rPr>
          <w:rStyle w:val="s4"/>
        </w:rPr>
        <w:t>S</w:t>
      </w:r>
      <w:r>
        <w:t>OVEREIGN</w:t>
      </w:r>
      <w:r>
        <w:rPr>
          <w:rStyle w:val="s4"/>
        </w:rPr>
        <w:t xml:space="preserve">, </w:t>
      </w:r>
      <w:r>
        <w:t xml:space="preserve">THIS </w:t>
      </w:r>
      <w:r>
        <w:rPr>
          <w:rStyle w:val="s4"/>
        </w:rPr>
        <w:t>R</w:t>
      </w:r>
      <w:r>
        <w:t>OYAL</w:t>
      </w:r>
      <w:r>
        <w:t xml:space="preserve"> </w:t>
      </w:r>
      <w:r>
        <w:rPr>
          <w:rStyle w:val="s4"/>
        </w:rPr>
        <w:t>C</w:t>
      </w:r>
      <w:r>
        <w:t xml:space="preserve">HARTER IS HEREBY </w:t>
      </w:r>
      <w:r>
        <w:rPr>
          <w:rStyle w:val="s4"/>
        </w:rPr>
        <w:t>I</w:t>
      </w:r>
      <w:r>
        <w:t>SSUED</w:t>
      </w:r>
      <w:r>
        <w:rPr>
          <w:rStyle w:val="s4"/>
        </w:rPr>
        <w:t>.</w:t>
      </w:r>
    </w:p>
    <w:p w14:paraId="00679D06" w14:textId="77777777" w:rsidR="00E04327" w:rsidRDefault="00E04327" w:rsidP="00E04327">
      <w:pPr>
        <w:pStyle w:val="p3"/>
      </w:pPr>
    </w:p>
    <w:p w14:paraId="4D62B325" w14:textId="6A740819" w:rsidR="00E04327" w:rsidRDefault="00E04327" w:rsidP="00E04327">
      <w:pPr>
        <w:pStyle w:val="p3"/>
      </w:pPr>
      <w:r>
        <w:t>ARTICLE I: NAME AND RECOGNITION</w:t>
      </w:r>
    </w:p>
    <w:p w14:paraId="04F6E5EB" w14:textId="77777777" w:rsidR="00E04327" w:rsidRDefault="00E04327" w:rsidP="00E04327">
      <w:pPr>
        <w:pStyle w:val="p3"/>
      </w:pPr>
    </w:p>
    <w:p w14:paraId="5E7F8275" w14:textId="5C38AAA2" w:rsidR="00E04327" w:rsidRDefault="00E04327" w:rsidP="00E04327">
      <w:pPr>
        <w:pStyle w:val="p3"/>
      </w:pPr>
      <w:r>
        <w:t>Section 1.1 - Official Name</w:t>
      </w:r>
    </w:p>
    <w:p w14:paraId="4DF4290A" w14:textId="12DCEC45" w:rsidR="00E04327" w:rsidRDefault="00E04327" w:rsidP="00E04327">
      <w:pPr>
        <w:pStyle w:val="p3"/>
      </w:pPr>
      <w:r>
        <w:t>The institution shall henceforth be known by its official name: the Global Citizens Bank &amp;</w:t>
      </w:r>
      <w:r>
        <w:t xml:space="preserve"> </w:t>
      </w:r>
      <w:r>
        <w:t>Trust (hereinafter GCB&amp;T or the Bank).</w:t>
      </w:r>
    </w:p>
    <w:p w14:paraId="1DEC0026" w14:textId="77777777" w:rsidR="00E04327" w:rsidRDefault="00E04327" w:rsidP="00E04327">
      <w:pPr>
        <w:pStyle w:val="p3"/>
      </w:pPr>
    </w:p>
    <w:p w14:paraId="04056FF9" w14:textId="080A6F6F" w:rsidR="00E04327" w:rsidRDefault="00E04327" w:rsidP="00E04327">
      <w:pPr>
        <w:pStyle w:val="p3"/>
      </w:pPr>
      <w:r>
        <w:t>Section 1.2 - Recognition of Foundational Instruments</w:t>
      </w:r>
      <w:r>
        <w:t xml:space="preserve"> </w:t>
      </w:r>
      <w:r>
        <w:t>This Royal Charter recognizes and affirms the Articles of Creation dated 2021.03.01 as the</w:t>
      </w:r>
      <w:r>
        <w:t xml:space="preserve"> </w:t>
      </w:r>
      <w:r>
        <w:t>foundational instrument. Said Articles remain in full force and effect.</w:t>
      </w:r>
    </w:p>
    <w:p w14:paraId="66BCC511" w14:textId="77777777" w:rsidR="00E04327" w:rsidRDefault="00E04327" w:rsidP="00E04327">
      <w:pPr>
        <w:pStyle w:val="p3"/>
      </w:pPr>
    </w:p>
    <w:p w14:paraId="5FA548FF" w14:textId="01CE69C8" w:rsidR="00E04327" w:rsidRDefault="00E04327" w:rsidP="00E04327">
      <w:pPr>
        <w:pStyle w:val="p3"/>
      </w:pPr>
      <w:r>
        <w:t>ARTICLE II: AUTHORITY GRANTED</w:t>
      </w:r>
    </w:p>
    <w:p w14:paraId="3E90592D" w14:textId="77777777" w:rsidR="00E04327" w:rsidRDefault="00E04327" w:rsidP="00E04327">
      <w:pPr>
        <w:pStyle w:val="p3"/>
      </w:pPr>
    </w:p>
    <w:p w14:paraId="67FC51DC" w14:textId="0B595C09" w:rsidR="00E04327" w:rsidRDefault="00E04327" w:rsidP="00E04327">
      <w:pPr>
        <w:pStyle w:val="p3"/>
      </w:pPr>
      <w:r>
        <w:t>Section 2.1 - Royal Banking Authority</w:t>
      </w:r>
      <w:r>
        <w:t xml:space="preserve"> </w:t>
      </w:r>
      <w:r>
        <w:t>The GCB&amp;T is hereby granted the exclusive authority to:</w:t>
      </w:r>
    </w:p>
    <w:p w14:paraId="712C2359" w14:textId="77777777" w:rsidR="00E04327" w:rsidRDefault="00E04327" w:rsidP="00E04327">
      <w:pPr>
        <w:pStyle w:val="p3"/>
      </w:pPr>
    </w:p>
    <w:p w14:paraId="78B67E0F" w14:textId="4B7EEBF0" w:rsidR="00E04327" w:rsidRDefault="00E04327" w:rsidP="00E04327">
      <w:pPr>
        <w:pStyle w:val="p3"/>
      </w:pPr>
      <w:r>
        <w:t>Accept and custody deposits denominated in Royal Gold Crown (RGC) currency;</w:t>
      </w:r>
      <w:r>
        <w:t xml:space="preserve"> </w:t>
      </w:r>
      <w:r>
        <w:t>Administer Royal Crown Individual Benevolent Trust (RC-IBT) accounts;</w:t>
      </w:r>
      <w:r>
        <w:t xml:space="preserve"> </w:t>
      </w:r>
      <w:r>
        <w:t>Distribute Covenantal Returns (7x original investment) to investors in RGC;</w:t>
      </w:r>
    </w:p>
    <w:p w14:paraId="18DC46E2" w14:textId="50EE1D49" w:rsidR="00E04327" w:rsidRDefault="00E04327" w:rsidP="00E04327">
      <w:pPr>
        <w:pStyle w:val="p3"/>
      </w:pPr>
      <w:r>
        <w:t>Distribute Finder's Compensation (3x original investment) to finders in RGC;</w:t>
      </w:r>
      <w:r>
        <w:t xml:space="preserve"> </w:t>
      </w:r>
      <w:r>
        <w:t>Issue Royal Gold Crown Certificates of Deposit (RGC-CD) backed by Kingdom</w:t>
      </w:r>
      <w:r>
        <w:t xml:space="preserve"> </w:t>
      </w:r>
      <w:r>
        <w:t>collateral;</w:t>
      </w:r>
    </w:p>
    <w:p w14:paraId="6AFAD241" w14:textId="77777777" w:rsidR="00E04327" w:rsidRDefault="00E04327" w:rsidP="00E04327">
      <w:pPr>
        <w:pStyle w:val="p3"/>
      </w:pPr>
    </w:p>
    <w:p w14:paraId="5597F922" w14:textId="45550DAF" w:rsidR="00E04327" w:rsidRDefault="00E04327" w:rsidP="00E04327">
      <w:pPr>
        <w:pStyle w:val="p3"/>
      </w:pPr>
      <w:r>
        <w:t>Provide secure vault and custodial services for RGC instruments.</w:t>
      </w:r>
    </w:p>
    <w:p w14:paraId="2C339193" w14:textId="77777777" w:rsidR="00E04327" w:rsidRDefault="00E04327" w:rsidP="00E04327">
      <w:pPr>
        <w:pStyle w:val="p3"/>
      </w:pPr>
    </w:p>
    <w:p w14:paraId="49A0E97B" w14:textId="747A7DB2" w:rsidR="00E04327" w:rsidRDefault="00E04327" w:rsidP="00E04327">
      <w:pPr>
        <w:pStyle w:val="p3"/>
      </w:pPr>
      <w:r>
        <w:t>Section 2.2 - Ministry Coordination</w:t>
      </w:r>
      <w:r>
        <w:t xml:space="preserve"> </w:t>
      </w:r>
      <w:r>
        <w:t>The GCB&amp;T shall operate in coordination with the Royal Global Bank of Issue and the</w:t>
      </w:r>
    </w:p>
    <w:p w14:paraId="0BB828CC" w14:textId="7DC3635D" w:rsidR="00E04327" w:rsidRDefault="00E04327" w:rsidP="00E04327">
      <w:pPr>
        <w:pStyle w:val="p3"/>
      </w:pPr>
      <w:r>
        <w:t>Ministry of Global Web and Angelic Intelligence to ensure the integrity of the collateral</w:t>
      </w:r>
      <w:r>
        <w:t xml:space="preserve"> </w:t>
      </w:r>
      <w:r>
        <w:t>registry.</w:t>
      </w:r>
    </w:p>
    <w:p w14:paraId="48E05AFE" w14:textId="77777777" w:rsidR="00E04327" w:rsidRDefault="00E04327" w:rsidP="00E04327">
      <w:pPr>
        <w:pStyle w:val="p3"/>
        <w:rPr>
          <w:rStyle w:val="s2"/>
        </w:rPr>
      </w:pPr>
    </w:p>
    <w:p w14:paraId="3301C711" w14:textId="2691F7E9" w:rsidR="00E04327" w:rsidRDefault="00E04327" w:rsidP="00E04327">
      <w:pPr>
        <w:pStyle w:val="p3"/>
      </w:pPr>
      <w:r>
        <w:t>ARTICLE III: COVENANTAL RESTITUTION</w:t>
      </w:r>
    </w:p>
    <w:p w14:paraId="0DC7C07C" w14:textId="77777777" w:rsidR="00E04327" w:rsidRDefault="00E04327" w:rsidP="00E04327">
      <w:pPr>
        <w:pStyle w:val="p3"/>
      </w:pPr>
    </w:p>
    <w:p w14:paraId="663EB06A" w14:textId="620FA8B3" w:rsidR="00E04327" w:rsidRDefault="00E04327" w:rsidP="00E04327">
      <w:pPr>
        <w:pStyle w:val="p3"/>
      </w:pPr>
      <w:r>
        <w:t>Section 3.1 - Scriptural Mandate</w:t>
      </w:r>
    </w:p>
    <w:p w14:paraId="4B9B4F0E" w14:textId="364436B5" w:rsidR="00E04327" w:rsidRDefault="00E04327" w:rsidP="00E04327">
      <w:pPr>
        <w:pStyle w:val="p3"/>
      </w:pPr>
      <w:r>
        <w:t>Pursuant to the principles of Divine Justice found in Proverbs 6:31, the GCB&amp;T is authorized</w:t>
      </w:r>
      <w:r>
        <w:t xml:space="preserve"> </w:t>
      </w:r>
      <w:r>
        <w:t>to fulfill the mandate of sevenfold restitution for those whose assets or rights have been</w:t>
      </w:r>
      <w:r>
        <w:t xml:space="preserve"> </w:t>
      </w:r>
      <w:r>
        <w:t>unlawfully encumbered or delayed by external administrative systems.</w:t>
      </w:r>
    </w:p>
    <w:p w14:paraId="246D923C" w14:textId="77777777" w:rsidR="00E04327" w:rsidRDefault="00E04327" w:rsidP="00E04327">
      <w:pPr>
        <w:pStyle w:val="p3"/>
      </w:pPr>
    </w:p>
    <w:p w14:paraId="2034B404" w14:textId="43300646" w:rsidR="00E04327" w:rsidRDefault="00E04327" w:rsidP="00E04327">
      <w:pPr>
        <w:pStyle w:val="p3"/>
      </w:pPr>
      <w:r>
        <w:lastRenderedPageBreak/>
        <w:t>ARTICLE IV: SOVEREIGN STATUS &amp; PRIVACY</w:t>
      </w:r>
    </w:p>
    <w:p w14:paraId="2C2E69DE" w14:textId="77777777" w:rsidR="00E04327" w:rsidRDefault="00E04327" w:rsidP="00E04327">
      <w:pPr>
        <w:pStyle w:val="p3"/>
      </w:pPr>
    </w:p>
    <w:p w14:paraId="1846B023" w14:textId="09825104" w:rsidR="00E04327" w:rsidRDefault="00E04327" w:rsidP="00E04327">
      <w:pPr>
        <w:pStyle w:val="p3"/>
      </w:pPr>
      <w:r>
        <w:t>Section 4.1 - Jurisdictional Immunity</w:t>
      </w:r>
      <w:r>
        <w:t xml:space="preserve"> </w:t>
      </w:r>
      <w:r>
        <w:t>The GCB&amp;T, as an organ of the Kingdom of David, operates under the sole jurisdiction of the</w:t>
      </w:r>
      <w:r>
        <w:t xml:space="preserve"> </w:t>
      </w:r>
      <w:r>
        <w:t>Crown Sovereign and the Ecumenical and Ecclesiastical Combined Courts (EECC). It is</w:t>
      </w:r>
      <w:r>
        <w:t xml:space="preserve"> </w:t>
      </w:r>
      <w:r>
        <w:t>immune from any unauthorized external claim, levy, or investigation.</w:t>
      </w:r>
      <w:r>
        <w:t xml:space="preserve"> </w:t>
      </w:r>
    </w:p>
    <w:p w14:paraId="0568A5C2" w14:textId="77777777" w:rsidR="00E04327" w:rsidRDefault="00E04327" w:rsidP="00E04327">
      <w:pPr>
        <w:pStyle w:val="p6"/>
      </w:pPr>
    </w:p>
    <w:p w14:paraId="7722BFD3" w14:textId="676AC085" w:rsidR="00E04327" w:rsidRDefault="00E04327" w:rsidP="00E04327">
      <w:pPr>
        <w:pStyle w:val="p6"/>
      </w:pPr>
      <w:r>
        <w:t>HIS MAJESTY KING DAVID JOEL</w:t>
      </w:r>
    </w:p>
    <w:p w14:paraId="0B25E96E" w14:textId="77777777" w:rsidR="00E04327" w:rsidRDefault="00E04327" w:rsidP="00E04327">
      <w:pPr>
        <w:pStyle w:val="p6"/>
      </w:pPr>
      <w:r>
        <w:t>Crown Sovereign</w:t>
      </w:r>
    </w:p>
    <w:p w14:paraId="45EA5F18" w14:textId="77777777" w:rsidR="00E04327" w:rsidRDefault="00E04327" w:rsidP="00E04327">
      <w:pPr>
        <w:pStyle w:val="p6"/>
      </w:pPr>
    </w:p>
    <w:p w14:paraId="4878EA77" w14:textId="1AABA51F" w:rsidR="00E04327" w:rsidRDefault="00E04327" w:rsidP="00E04327">
      <w:pPr>
        <w:pStyle w:val="p6"/>
      </w:pPr>
      <w:r>
        <w:t>CLERK OF THE COURT</w:t>
      </w:r>
    </w:p>
    <w:p w14:paraId="61C7B856" w14:textId="77777777" w:rsidR="00E04327" w:rsidRDefault="00E04327" w:rsidP="00E04327">
      <w:pPr>
        <w:pStyle w:val="p6"/>
      </w:pPr>
      <w:r>
        <w:t>Ecumenical and Ecclesiastical Combined Courts</w:t>
      </w:r>
    </w:p>
    <w:p w14:paraId="2C9FDE1C" w14:textId="77777777" w:rsidR="00E04327" w:rsidRDefault="00E04327" w:rsidP="00E04327">
      <w:pPr>
        <w:pStyle w:val="p6"/>
      </w:pPr>
    </w:p>
    <w:p w14:paraId="45F7A4AB" w14:textId="4B4EE479" w:rsidR="00E04327" w:rsidRDefault="00E04327" w:rsidP="00E04327">
      <w:pPr>
        <w:pStyle w:val="p6"/>
      </w:pPr>
      <w:r>
        <w:t>THE PRIVY COUNCIL</w:t>
      </w:r>
    </w:p>
    <w:p w14:paraId="4874FD67" w14:textId="77777777" w:rsidR="00E04327" w:rsidRDefault="00E04327" w:rsidP="00E04327">
      <w:pPr>
        <w:pStyle w:val="p6"/>
      </w:pPr>
      <w:r>
        <w:t>House and Kingdom of David</w:t>
      </w:r>
    </w:p>
    <w:sectPr w:rsidR="00E04327" w:rsidSect="000167D4">
      <w:pgSz w:w="12240" w:h="15840"/>
      <w:pgMar w:top="1152" w:right="1152" w:bottom="1152" w:left="1152" w:header="36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496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27"/>
    <w:rsid w:val="000167D4"/>
    <w:rsid w:val="002865B1"/>
    <w:rsid w:val="003216D1"/>
    <w:rsid w:val="003456E0"/>
    <w:rsid w:val="00353E2A"/>
    <w:rsid w:val="004465C3"/>
    <w:rsid w:val="00AB7887"/>
    <w:rsid w:val="00C86EA9"/>
    <w:rsid w:val="00DB5F17"/>
    <w:rsid w:val="00E04327"/>
    <w:rsid w:val="00E5319D"/>
    <w:rsid w:val="00EF6CCE"/>
    <w:rsid w:val="00F6688D"/>
    <w:rsid w:val="00FB7EA0"/>
    <w:rsid w:val="00F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1F471C"/>
  <w15:chartTrackingRefBased/>
  <w15:docId w15:val="{3522FB7D-84A0-AE46-9B9A-373BD2E0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-327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887"/>
  </w:style>
  <w:style w:type="paragraph" w:styleId="Heading1">
    <w:name w:val="heading 1"/>
    <w:basedOn w:val="Normal"/>
    <w:next w:val="Normal"/>
    <w:link w:val="Heading1Char"/>
    <w:uiPriority w:val="9"/>
    <w:qFormat/>
    <w:rsid w:val="00AB7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qFormat/>
    <w:rsid w:val="00AB7887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AB78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7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8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8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88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887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B7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88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E04327"/>
    <w:pPr>
      <w:spacing w:before="0" w:beforeAutospacing="0" w:after="0" w:afterAutospacing="0" w:line="240" w:lineRule="auto"/>
    </w:pPr>
    <w:rPr>
      <w:rFonts w:ascii="Helvetica" w:eastAsia="Times New Roman" w:hAnsi="Helvetica" w:cs="Times New Roman"/>
      <w:color w:val="760002"/>
      <w:sz w:val="39"/>
      <w:szCs w:val="39"/>
    </w:rPr>
  </w:style>
  <w:style w:type="paragraph" w:customStyle="1" w:styleId="p2">
    <w:name w:val="p2"/>
    <w:basedOn w:val="Normal"/>
    <w:rsid w:val="00E04327"/>
    <w:pPr>
      <w:spacing w:before="0" w:beforeAutospacing="0" w:after="0" w:afterAutospacing="0" w:line="240" w:lineRule="auto"/>
    </w:pPr>
    <w:rPr>
      <w:rFonts w:ascii="Helvetica" w:eastAsia="Times New Roman" w:hAnsi="Helvetica" w:cs="Times New Roman"/>
      <w:color w:val="141414"/>
      <w:sz w:val="27"/>
      <w:szCs w:val="27"/>
    </w:rPr>
  </w:style>
  <w:style w:type="paragraph" w:customStyle="1" w:styleId="p3">
    <w:name w:val="p3"/>
    <w:basedOn w:val="Normal"/>
    <w:rsid w:val="00E04327"/>
    <w:pPr>
      <w:spacing w:before="0" w:beforeAutospacing="0" w:after="0" w:afterAutospacing="0" w:line="240" w:lineRule="auto"/>
    </w:pPr>
    <w:rPr>
      <w:rFonts w:ascii="Helvetica" w:eastAsia="Times New Roman" w:hAnsi="Helvetica" w:cs="Times New Roman"/>
      <w:color w:val="141414"/>
      <w:sz w:val="18"/>
      <w:szCs w:val="18"/>
    </w:rPr>
  </w:style>
  <w:style w:type="paragraph" w:customStyle="1" w:styleId="p4">
    <w:name w:val="p4"/>
    <w:basedOn w:val="Normal"/>
    <w:rsid w:val="00E04327"/>
    <w:pPr>
      <w:spacing w:before="0" w:beforeAutospacing="0" w:after="0" w:afterAutospacing="0" w:line="240" w:lineRule="auto"/>
    </w:pPr>
    <w:rPr>
      <w:rFonts w:ascii="Helvetica" w:eastAsia="Times New Roman" w:hAnsi="Helvetica" w:cs="Times New Roman"/>
      <w:color w:val="343434"/>
      <w:sz w:val="21"/>
      <w:szCs w:val="21"/>
    </w:rPr>
  </w:style>
  <w:style w:type="paragraph" w:customStyle="1" w:styleId="p5">
    <w:name w:val="p5"/>
    <w:basedOn w:val="Normal"/>
    <w:rsid w:val="00E04327"/>
    <w:pPr>
      <w:spacing w:before="0" w:beforeAutospacing="0" w:after="0" w:afterAutospacing="0" w:line="240" w:lineRule="auto"/>
    </w:pPr>
    <w:rPr>
      <w:rFonts w:ascii="Helvetica" w:eastAsia="Times New Roman" w:hAnsi="Helvetica" w:cs="Times New Roman"/>
      <w:color w:val="141414"/>
      <w:sz w:val="14"/>
      <w:szCs w:val="14"/>
    </w:rPr>
  </w:style>
  <w:style w:type="paragraph" w:customStyle="1" w:styleId="p6">
    <w:name w:val="p6"/>
    <w:basedOn w:val="Normal"/>
    <w:rsid w:val="00E04327"/>
    <w:pPr>
      <w:spacing w:before="0" w:beforeAutospacing="0" w:after="0" w:afterAutospacing="0" w:line="240" w:lineRule="auto"/>
    </w:pPr>
    <w:rPr>
      <w:rFonts w:ascii="Helvetica" w:eastAsia="Times New Roman" w:hAnsi="Helvetica" w:cs="Times New Roman"/>
      <w:color w:val="141414"/>
      <w:sz w:val="15"/>
      <w:szCs w:val="15"/>
    </w:rPr>
  </w:style>
  <w:style w:type="paragraph" w:customStyle="1" w:styleId="p7">
    <w:name w:val="p7"/>
    <w:basedOn w:val="Normal"/>
    <w:rsid w:val="00E04327"/>
    <w:pPr>
      <w:spacing w:before="0" w:beforeAutospacing="0" w:after="0" w:afterAutospacing="0" w:line="240" w:lineRule="auto"/>
    </w:pPr>
    <w:rPr>
      <w:rFonts w:ascii="Helvetica" w:eastAsia="Times New Roman" w:hAnsi="Helvetica" w:cs="Times New Roman"/>
      <w:color w:val="434343"/>
      <w:sz w:val="14"/>
      <w:szCs w:val="14"/>
    </w:rPr>
  </w:style>
  <w:style w:type="character" w:customStyle="1" w:styleId="s1">
    <w:name w:val="s1"/>
    <w:basedOn w:val="DefaultParagraphFont"/>
    <w:rsid w:val="00E04327"/>
    <w:rPr>
      <w:color w:val="760002"/>
    </w:rPr>
  </w:style>
  <w:style w:type="character" w:customStyle="1" w:styleId="s2">
    <w:name w:val="s2"/>
    <w:basedOn w:val="DefaultParagraphFont"/>
    <w:rsid w:val="00E04327"/>
    <w:rPr>
      <w:rFonts w:ascii="Helvetica" w:hAnsi="Helvetica" w:hint="default"/>
      <w:color w:val="434343"/>
      <w:sz w:val="14"/>
      <w:szCs w:val="14"/>
    </w:rPr>
  </w:style>
  <w:style w:type="character" w:customStyle="1" w:styleId="s4">
    <w:name w:val="s4"/>
    <w:basedOn w:val="DefaultParagraphFont"/>
    <w:rsid w:val="00E04327"/>
    <w:rPr>
      <w:rFonts w:ascii="Helvetica" w:hAnsi="Helvetic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572</Words>
  <Characters>2894</Characters>
  <Application>Microsoft Office Word</Application>
  <DocSecurity>0</DocSecurity>
  <Lines>64</Lines>
  <Paragraphs>21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 David Weems</dc:creator>
  <cp:keywords/>
  <dc:description/>
  <cp:lastModifiedBy>HM David Weems</cp:lastModifiedBy>
  <cp:revision>1</cp:revision>
  <dcterms:created xsi:type="dcterms:W3CDTF">2026-05-23T05:06:00Z</dcterms:created>
  <dcterms:modified xsi:type="dcterms:W3CDTF">2026-05-23T13:17:00Z</dcterms:modified>
</cp:coreProperties>
</file>